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3FF1" w14:textId="63EC06B0" w:rsidR="001E5DF4" w:rsidRDefault="001E5DF4" w:rsidP="001E5DF4">
      <w:pPr>
        <w:spacing w:after="0" w:line="240" w:lineRule="auto"/>
        <w:rPr>
          <w:rFonts w:asciiTheme="majorHAnsi" w:hAnsiTheme="majorHAnsi"/>
          <w:i/>
          <w:lang w:val="ro-RO"/>
        </w:rPr>
      </w:pPr>
    </w:p>
    <w:p w14:paraId="70C97350" w14:textId="77777777" w:rsidR="00F52A5C" w:rsidRPr="00A52C69" w:rsidRDefault="00F52A5C"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377C1B08" w14:textId="061AC895" w:rsidR="00342F9F" w:rsidRPr="00342F9F" w:rsidRDefault="00342F9F" w:rsidP="001E5DF4">
      <w:pPr>
        <w:spacing w:after="0" w:line="240" w:lineRule="auto"/>
        <w:jc w:val="center"/>
        <w:rPr>
          <w:rFonts w:cstheme="minorHAnsi"/>
          <w:b/>
          <w:sz w:val="24"/>
          <w:szCs w:val="24"/>
          <w:lang w:val="ro-RO"/>
        </w:rPr>
      </w:pPr>
      <w:proofErr w:type="spellStart"/>
      <w:r w:rsidRPr="00342F9F">
        <w:rPr>
          <w:rFonts w:cstheme="minorHAnsi"/>
          <w:b/>
          <w:sz w:val="24"/>
          <w:szCs w:val="24"/>
        </w:rPr>
        <w:t>echipamente</w:t>
      </w:r>
      <w:proofErr w:type="spellEnd"/>
      <w:r w:rsidRPr="00342F9F">
        <w:rPr>
          <w:rFonts w:cstheme="minorHAnsi"/>
          <w:b/>
          <w:sz w:val="24"/>
          <w:szCs w:val="24"/>
        </w:rPr>
        <w:t xml:space="preserve"> </w:t>
      </w:r>
      <w:r w:rsidR="00093335">
        <w:rPr>
          <w:rFonts w:cstheme="minorHAnsi"/>
          <w:b/>
          <w:sz w:val="24"/>
          <w:szCs w:val="24"/>
        </w:rPr>
        <w:t>IT</w:t>
      </w:r>
      <w:bookmarkStart w:id="0" w:name="_GoBack"/>
      <w:bookmarkEnd w:id="0"/>
      <w:r w:rsidRPr="00342F9F">
        <w:rPr>
          <w:rFonts w:cstheme="minorHAnsi"/>
          <w:b/>
          <w:sz w:val="24"/>
          <w:szCs w:val="24"/>
          <w:lang w:val="ro-RO"/>
        </w:rPr>
        <w:t xml:space="preserve"> </w:t>
      </w:r>
    </w:p>
    <w:p w14:paraId="184BB705" w14:textId="2BC17396"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5F8201E" w14:textId="77777777" w:rsidR="00342F9F" w:rsidRPr="00A52C69" w:rsidRDefault="00342F9F" w:rsidP="00342F9F">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79D99A6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38861890"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AF3BE6">
        <w:rPr>
          <w:rFonts w:cstheme="minorHAnsi"/>
          <w:lang w:val="ro-RO"/>
        </w:rPr>
        <w:t>, 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D01E7F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342F9F">
        <w:rPr>
          <w:rFonts w:cstheme="minorHAnsi"/>
          <w:bCs/>
          <w:color w:val="000000"/>
          <w:lang w:val="ro-RO"/>
        </w:rPr>
        <w:t>sediul SNSPA din Bulevardul Expozitiei nr. 30A, sector 1, Bucuresti</w:t>
      </w:r>
      <w:r w:rsidRPr="00A52C69">
        <w:rPr>
          <w:rFonts w:cstheme="minorHAnsi"/>
          <w:bCs/>
          <w:color w:val="000000"/>
          <w:lang w:val="ro-RO"/>
        </w:rPr>
        <w:t xml:space="preserve">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C1CF9CA"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F52A5C">
        <w:rPr>
          <w:rFonts w:cstheme="minorHAnsi"/>
          <w:bCs/>
          <w:color w:val="000000"/>
          <w:lang w:val="ro-RO"/>
        </w:rPr>
        <w:t>e</w:t>
      </w:r>
      <w:r w:rsidRPr="00A52C69">
        <w:rPr>
          <w:rFonts w:cstheme="minorHAnsi"/>
          <w:bCs/>
          <w:color w:val="000000"/>
          <w:lang w:val="ro-RO"/>
        </w:rPr>
        <w:t>xpediț</w:t>
      </w:r>
      <w:r w:rsidR="00F52A5C">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2BF92816"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w:t>
      </w:r>
      <w:r w:rsidR="00342F9F" w:rsidRPr="00690430">
        <w:rPr>
          <w:rFonts w:cstheme="minorHAnsi"/>
          <w:lang w:val="ro-RO"/>
        </w:rPr>
        <w:t>și a declaratiei de conformitate</w:t>
      </w:r>
      <w:r w:rsidR="00342F9F" w:rsidRPr="00690430">
        <w:rPr>
          <w:rFonts w:cstheme="minorHAnsi"/>
          <w:noProof/>
          <w:lang w:val="ro-RO"/>
        </w:rPr>
        <w:t xml:space="preserve">, </w:t>
      </w:r>
      <w:r w:rsidR="003242E3" w:rsidRPr="00130363">
        <w:rPr>
          <w:rFonts w:cstheme="minorHAnsi"/>
          <w:noProof/>
          <w:lang w:val="ro-RO"/>
        </w:rPr>
        <w:t>declaratia de conformitate</w:t>
      </w:r>
      <w:r w:rsidR="00342F9F" w:rsidRPr="00690430">
        <w:rPr>
          <w:rFonts w:cstheme="minorHAnsi"/>
          <w:noProof/>
          <w:lang w:val="ro-RO"/>
        </w:rPr>
        <w:t xml:space="preserve">, </w:t>
      </w:r>
      <w:r w:rsidR="00CA7ABD">
        <w:rPr>
          <w:rFonts w:cstheme="minorHAnsi"/>
          <w:noProof/>
          <w:lang w:val="ro-RO"/>
        </w:rPr>
        <w:t xml:space="preserve">certificatul de </w:t>
      </w:r>
      <w:r w:rsidR="00342F9F" w:rsidRPr="00690430">
        <w:rPr>
          <w:rFonts w:cstheme="minorHAnsi"/>
          <w:noProof/>
          <w:lang w:val="ro-RO"/>
        </w:rPr>
        <w:t>garanție</w:t>
      </w:r>
      <w:r w:rsidR="00342F9F">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20AF742"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8954" w14:textId="77777777" w:rsidR="00523ED3" w:rsidRDefault="00523ED3" w:rsidP="00A1105D">
      <w:pPr>
        <w:spacing w:after="0" w:line="240" w:lineRule="auto"/>
      </w:pPr>
      <w:r>
        <w:separator/>
      </w:r>
    </w:p>
  </w:endnote>
  <w:endnote w:type="continuationSeparator" w:id="0">
    <w:p w14:paraId="519F97EF" w14:textId="77777777" w:rsidR="00523ED3" w:rsidRDefault="00523ED3" w:rsidP="00A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673506"/>
      <w:docPartObj>
        <w:docPartGallery w:val="Page Numbers (Bottom of Page)"/>
        <w:docPartUnique/>
      </w:docPartObj>
    </w:sdtPr>
    <w:sdtEndPr>
      <w:rPr>
        <w:noProof/>
      </w:rPr>
    </w:sdtEndPr>
    <w:sdtContent>
      <w:p w14:paraId="43F4B427" w14:textId="09E11E87" w:rsidR="00A1105D" w:rsidRDefault="00A11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1BBBB" w14:textId="77777777" w:rsidR="00A1105D" w:rsidRDefault="00A1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079B" w14:textId="77777777" w:rsidR="00523ED3" w:rsidRDefault="00523ED3" w:rsidP="00A1105D">
      <w:pPr>
        <w:spacing w:after="0" w:line="240" w:lineRule="auto"/>
      </w:pPr>
      <w:r>
        <w:separator/>
      </w:r>
    </w:p>
  </w:footnote>
  <w:footnote w:type="continuationSeparator" w:id="0">
    <w:p w14:paraId="2463AB10" w14:textId="77777777" w:rsidR="00523ED3" w:rsidRDefault="00523ED3" w:rsidP="00A1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093335"/>
    <w:rsid w:val="001E5DF4"/>
    <w:rsid w:val="003242E3"/>
    <w:rsid w:val="00342F9F"/>
    <w:rsid w:val="003D05CE"/>
    <w:rsid w:val="00492B43"/>
    <w:rsid w:val="00523ED3"/>
    <w:rsid w:val="00975A53"/>
    <w:rsid w:val="00A1105D"/>
    <w:rsid w:val="00AF3BE6"/>
    <w:rsid w:val="00BF2711"/>
    <w:rsid w:val="00CA7ABD"/>
    <w:rsid w:val="00D01AE3"/>
    <w:rsid w:val="00DF7B14"/>
    <w:rsid w:val="00EE5AD4"/>
    <w:rsid w:val="00F52A5C"/>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 w:type="paragraph" w:styleId="Header">
    <w:name w:val="header"/>
    <w:basedOn w:val="Normal"/>
    <w:link w:val="HeaderChar"/>
    <w:uiPriority w:val="99"/>
    <w:unhideWhenUsed/>
    <w:rsid w:val="00A1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5D"/>
    <w:rPr>
      <w:rFonts w:asciiTheme="minorHAnsi" w:hAnsiTheme="minorHAnsi"/>
      <w:sz w:val="22"/>
    </w:rPr>
  </w:style>
  <w:style w:type="paragraph" w:styleId="Footer">
    <w:name w:val="footer"/>
    <w:basedOn w:val="Normal"/>
    <w:link w:val="FooterChar"/>
    <w:uiPriority w:val="99"/>
    <w:unhideWhenUsed/>
    <w:rsid w:val="00A1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2020-03-20T08:47:00Z</dcterms:created>
  <dcterms:modified xsi:type="dcterms:W3CDTF">2020-03-20T10:21:00Z</dcterms:modified>
</cp:coreProperties>
</file>